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1B5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广汉发展控股投资集团有限责任公司：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pacing w:val="5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广汉发展控股投资集团有限责任公司主体信用评级服务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) 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5F902C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B7856B-1FF2-45BD-B5A9-302D66EC55D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90554E9-229B-4204-AC4D-572AA90BCD3E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0AE495-C7CA-4361-9583-2AC96BFF16D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F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Lines>0</Lines>
  <Paragraphs>0</Paragraphs>
  <TotalTime>8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2025-02-28T09:05:16Z</dcterms:created>
  <dc:creator>PC</dc:creator>
  <cp:lastModifiedBy>大大大南瓜</cp:lastModifiedBy>
  <dcterms:modified xsi:type="dcterms:W3CDTF">2025-02-28T10:03:20Z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eyJoZGlkIjoiMjM4MWY1YjJiOGQ5YTQ0MmQ3ODc4YWU2MzQ1NzZjZGUiLCJ1c2VySWQiOiIzODk0MTY4NzcifQ==</vt:lpwstr>
  </property>
  <property fmtid="{D5CDD505-2E9C-101B-9397-08002B2CF9AE}" pid="4" name="ICV">
    <vt:lpwstr>86ECC9D6AC464876A99A1ABAAE1DD5B0_12</vt:lpwstr>
  </property>
</Properties>
</file>