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6C6B2">
      <w:pPr>
        <w:pStyle w:val="2"/>
        <w:spacing w:before="100" w:line="224" w:lineRule="auto"/>
        <w:rPr>
          <w:color w:val="auto"/>
        </w:rPr>
      </w:pPr>
      <w:r>
        <w:rPr>
          <w:b/>
          <w:bCs/>
          <w:color w:val="auto"/>
          <w:spacing w:val="-12"/>
        </w:rPr>
        <w:t>附件</w:t>
      </w:r>
    </w:p>
    <w:p w14:paraId="1F5C1133">
      <w:pPr>
        <w:keepNext w:val="0"/>
        <w:keepLines w:val="0"/>
        <w:pageBreakBefore w:val="0"/>
        <w:wordWrap/>
        <w:overflowPunct/>
        <w:topLinePunct w:val="0"/>
        <w:bidi w:val="0"/>
        <w:spacing w:before="318" w:line="500" w:lineRule="exact"/>
        <w:ind w:left="3703"/>
        <w:rPr>
          <w:rFonts w:ascii="微软雅黑" w:hAnsi="微软雅黑" w:eastAsia="微软雅黑" w:cs="微软雅黑"/>
          <w:color w:val="auto"/>
          <w:sz w:val="44"/>
          <w:szCs w:val="44"/>
        </w:rPr>
      </w:pPr>
      <w:r>
        <w:rPr>
          <w:rFonts w:ascii="微软雅黑" w:hAnsi="微软雅黑" w:eastAsia="微软雅黑" w:cs="微软雅黑"/>
          <w:color w:val="auto"/>
          <w:spacing w:val="-5"/>
          <w:position w:val="-2"/>
          <w:sz w:val="44"/>
          <w:szCs w:val="44"/>
        </w:rPr>
        <w:t>报价函</w:t>
      </w:r>
    </w:p>
    <w:p w14:paraId="6D5DE373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rPr>
          <w:rFonts w:ascii="Arial"/>
          <w:color w:val="auto"/>
          <w:sz w:val="21"/>
        </w:rPr>
      </w:pPr>
    </w:p>
    <w:p w14:paraId="4186AA3F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rPr>
          <w:rFonts w:ascii="Arial"/>
          <w:color w:val="auto"/>
          <w:sz w:val="21"/>
        </w:rPr>
      </w:pPr>
    </w:p>
    <w:p w14:paraId="781D7B4C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rPr>
          <w:rFonts w:ascii="Arial"/>
          <w:color w:val="auto"/>
          <w:sz w:val="21"/>
        </w:rPr>
      </w:pPr>
    </w:p>
    <w:p w14:paraId="5F2A8CCE">
      <w:pPr>
        <w:pStyle w:val="2"/>
        <w:keepNext w:val="0"/>
        <w:keepLines w:val="0"/>
        <w:pageBreakBefore w:val="0"/>
        <w:widowControl/>
        <w:tabs>
          <w:tab w:val="left" w:pos="239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00" w:lineRule="exact"/>
        <w:textAlignment w:val="baseline"/>
        <w:rPr>
          <w:color w:val="auto"/>
        </w:rPr>
      </w:pPr>
      <w:r>
        <w:rPr>
          <w:color w:val="auto"/>
          <w:u w:val="single" w:color="auto"/>
        </w:rPr>
        <w:tab/>
      </w:r>
      <w:r>
        <w:rPr>
          <w:rFonts w:hint="eastAsia"/>
          <w:color w:val="auto"/>
          <w:u w:val="single" w:color="auto"/>
          <w:lang w:val="en-US" w:eastAsia="zh-CN"/>
        </w:rPr>
        <w:t xml:space="preserve">      </w:t>
      </w:r>
      <w:r>
        <w:rPr>
          <w:color w:val="auto"/>
          <w:spacing w:val="-135"/>
        </w:rPr>
        <w:t xml:space="preserve"> </w:t>
      </w:r>
      <w:r>
        <w:rPr>
          <w:b/>
          <w:bCs/>
          <w:color w:val="auto"/>
          <w:spacing w:val="-4"/>
        </w:rPr>
        <w:t>公司：</w:t>
      </w:r>
    </w:p>
    <w:p w14:paraId="72A42292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500" w:lineRule="exact"/>
        <w:ind w:firstLine="665"/>
        <w:jc w:val="both"/>
        <w:textAlignment w:val="baseline"/>
        <w:rPr>
          <w:color w:val="auto"/>
          <w:u w:val="single" w:color="auto"/>
        </w:rPr>
      </w:pPr>
      <w:r>
        <w:rPr>
          <w:b/>
          <w:bCs/>
          <w:color w:val="auto"/>
          <w:spacing w:val="-3"/>
        </w:rPr>
        <w:t>关于</w:t>
      </w:r>
      <w:r>
        <w:rPr>
          <w:color w:val="auto"/>
          <w:spacing w:val="-145"/>
        </w:rPr>
        <w:t xml:space="preserve"> </w:t>
      </w:r>
      <w:r>
        <w:rPr>
          <w:color w:val="auto"/>
          <w:spacing w:val="5"/>
          <w:u w:val="single" w:color="auto"/>
        </w:rPr>
        <w:t xml:space="preserve">  </w:t>
      </w:r>
      <w:r>
        <w:rPr>
          <w:rFonts w:hint="eastAsia"/>
          <w:color w:val="auto"/>
          <w:spacing w:val="5"/>
          <w:u w:val="single" w:color="auto"/>
        </w:rPr>
        <w:t>广汉发展控股投资集团有限责任公司专项法律服务</w:t>
      </w:r>
      <w:r>
        <w:rPr>
          <w:rFonts w:hint="eastAsia"/>
          <w:color w:val="auto"/>
          <w:spacing w:val="5"/>
          <w:u w:val="single" w:color="auto"/>
          <w:lang w:val="en-US" w:eastAsia="zh-CN"/>
        </w:rPr>
        <w:t>调研事项</w:t>
      </w:r>
      <w:r>
        <w:rPr>
          <w:color w:val="auto"/>
          <w:spacing w:val="5"/>
          <w:u w:val="single" w:color="auto"/>
        </w:rPr>
        <w:t xml:space="preserve">  </w:t>
      </w:r>
      <w:r>
        <w:rPr>
          <w:b/>
          <w:bCs/>
          <w:color w:val="auto"/>
          <w:spacing w:val="-3"/>
        </w:rPr>
        <w:t>，结合该事项的特点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>及服务内容，经仔细研究决定，我方</w:t>
      </w:r>
      <w:r>
        <w:rPr>
          <w:color w:val="auto"/>
          <w:spacing w:val="27"/>
          <w:u w:val="single" w:color="auto"/>
        </w:rPr>
        <w:t xml:space="preserve">     </w:t>
      </w:r>
      <w:r>
        <w:rPr>
          <w:b/>
          <w:bCs/>
          <w:color w:val="auto"/>
          <w:u w:val="single" w:color="auto"/>
        </w:rPr>
        <w:t>（单位的名称）</w:t>
      </w:r>
      <w:r>
        <w:rPr>
          <w:color w:val="auto"/>
          <w:u w:val="single" w:color="auto"/>
        </w:rPr>
        <w:tab/>
      </w:r>
    </w:p>
    <w:p w14:paraId="3A040131">
      <w:pPr>
        <w:pStyle w:val="2"/>
        <w:keepNext w:val="0"/>
        <w:keepLines w:val="0"/>
        <w:pageBreakBefore w:val="0"/>
        <w:widowControl/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500" w:lineRule="exact"/>
        <w:jc w:val="both"/>
        <w:textAlignment w:val="baseline"/>
        <w:rPr>
          <w:rFonts w:hint="eastAsia"/>
          <w:b/>
          <w:bCs/>
          <w:color w:val="auto"/>
          <w:lang w:val="en-US" w:eastAsia="zh-CN"/>
        </w:rPr>
      </w:pPr>
      <w:r>
        <w:rPr>
          <w:b/>
          <w:bCs/>
          <w:color w:val="auto"/>
        </w:rPr>
        <w:t>的报价</w:t>
      </w:r>
      <w:r>
        <w:rPr>
          <w:rFonts w:hint="eastAsia"/>
          <w:b/>
          <w:bCs/>
          <w:color w:val="auto"/>
          <w:lang w:val="en-US" w:eastAsia="zh-CN"/>
        </w:rPr>
        <w:t>详见下表：</w:t>
      </w:r>
    </w:p>
    <w:p w14:paraId="5B9E4544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before="158" w:line="500" w:lineRule="exact"/>
        <w:ind w:firstLine="622" w:firstLineChars="200"/>
        <w:jc w:val="both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1.诉讼、仲裁案件代理计费标准</w:t>
      </w:r>
    </w:p>
    <w:p w14:paraId="57896125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wordWrap/>
        <w:overflowPunct/>
        <w:topLinePunct w:val="0"/>
        <w:bidi w:val="0"/>
        <w:spacing w:before="158" w:line="500" w:lineRule="exact"/>
        <w:jc w:val="both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表1：</w:t>
      </w:r>
    </w:p>
    <w:tbl>
      <w:tblPr>
        <w:tblStyle w:val="3"/>
        <w:tblW w:w="49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3481"/>
      </w:tblGrid>
      <w:tr w14:paraId="474C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A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一审案件标的区间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参照《四川省律师服务收费政府指导价标准（川发改价格〔2018〕93号）》第二条规定的实际取费比例（%）</w:t>
            </w:r>
          </w:p>
        </w:tc>
      </w:tr>
      <w:tr w14:paraId="6954A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3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100万元以下的部分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 w14:paraId="6A46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6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100万元至500万元的部分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8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 w14:paraId="62A8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B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500万元至1000万元的部分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A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 w14:paraId="3D246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1000万元至3000万元的部分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0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 w14:paraId="5EFA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0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3000万元至5000万元的部分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D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 w14:paraId="183A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8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5000万元至1亿元的部分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2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 w14:paraId="0AE4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A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1亿元以上部分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4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</w:tbl>
    <w:p w14:paraId="0D8801F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500" w:lineRule="exact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vertAlign w:val="baseline"/>
          <w:lang w:val="en-US" w:eastAsia="zh-CN" w:bidi="ar-SA"/>
        </w:rPr>
        <w:t>注：1.所有案件（不区分案由）均按上述标准执行。</w:t>
      </w:r>
    </w:p>
    <w:p w14:paraId="65EB2A6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500" w:lineRule="exact"/>
        <w:ind w:firstLine="482" w:firstLineChars="200"/>
        <w:jc w:val="both"/>
        <w:textAlignment w:val="baseline"/>
        <w:rPr>
          <w:rFonts w:hint="default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4"/>
          <w:szCs w:val="24"/>
          <w:vertAlign w:val="baseline"/>
          <w:lang w:val="en-US" w:eastAsia="zh-CN" w:bidi="ar-SA"/>
        </w:rPr>
        <w:t>2.案件服务费用为计算标的对应各区间服务费用之和。</w:t>
      </w:r>
    </w:p>
    <w:p w14:paraId="7A9C3842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500" w:lineRule="exact"/>
        <w:jc w:val="both"/>
        <w:textAlignment w:val="baseline"/>
        <w:rPr>
          <w:rFonts w:hint="eastAsia"/>
          <w:b/>
          <w:bCs/>
          <w:color w:val="auto"/>
          <w:lang w:val="en-US" w:eastAsia="zh-CN"/>
        </w:rPr>
      </w:pPr>
    </w:p>
    <w:p w14:paraId="74952D6E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500" w:lineRule="exact"/>
        <w:jc w:val="both"/>
        <w:textAlignment w:val="baseline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表2：</w:t>
      </w:r>
    </w:p>
    <w:tbl>
      <w:tblPr>
        <w:tblStyle w:val="3"/>
        <w:tblW w:w="49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3481"/>
      </w:tblGrid>
      <w:tr w14:paraId="4A24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9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一审案件特殊价格限制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8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单位（元）</w:t>
            </w:r>
          </w:p>
        </w:tc>
      </w:tr>
      <w:tr w14:paraId="6951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7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最低收费（按照表1报价标准计算的代理费下限，即单个案件的最低收费）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A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0312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F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最高收费（按照表1报价标准计算的代理费上限，即单个案件的最高收费）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45A0D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3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不涉及财产标的案件代理费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C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</w:tbl>
    <w:p w14:paraId="620CE853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500" w:lineRule="exact"/>
        <w:jc w:val="both"/>
        <w:textAlignment w:val="baseline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表3：</w:t>
      </w:r>
    </w:p>
    <w:tbl>
      <w:tblPr>
        <w:tblStyle w:val="3"/>
        <w:tblW w:w="49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3481"/>
      </w:tblGrid>
      <w:tr w14:paraId="0529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其他案件类型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6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按照一审案件代理费用的下浮比例（%）</w:t>
            </w:r>
          </w:p>
        </w:tc>
      </w:tr>
      <w:tr w14:paraId="713B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1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二审案件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F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 w14:paraId="541F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再审案件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5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 w14:paraId="0105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6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发回重审案件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2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 w14:paraId="6513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B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执行案件</w:t>
            </w:r>
          </w:p>
          <w:p w14:paraId="3468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（已代理前期审判程序的执行案件不另行支付代理费用，本项报价仅针对独立发生的执行案件）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2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</w:tbl>
    <w:p w14:paraId="63135818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500" w:lineRule="exact"/>
        <w:ind w:leftChars="200"/>
        <w:jc w:val="both"/>
        <w:textAlignment w:val="baseline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2.重大股权投资、并购尽职调查</w:t>
      </w:r>
    </w:p>
    <w:p w14:paraId="7D164BF6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500" w:lineRule="exact"/>
        <w:ind w:leftChars="200"/>
        <w:jc w:val="both"/>
        <w:textAlignment w:val="baseline"/>
        <w:rPr>
          <w:rFonts w:hint="default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服务费用计算式：服务费用=基础费用+浮动费用+其他费用</w:t>
      </w:r>
    </w:p>
    <w:tbl>
      <w:tblPr>
        <w:tblStyle w:val="4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509"/>
        <w:gridCol w:w="3454"/>
        <w:gridCol w:w="2541"/>
      </w:tblGrid>
      <w:tr w14:paraId="3080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94" w:type="dxa"/>
            <w:vAlign w:val="center"/>
          </w:tcPr>
          <w:p w14:paraId="31DEE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计费类别</w:t>
            </w:r>
          </w:p>
        </w:tc>
        <w:tc>
          <w:tcPr>
            <w:tcW w:w="4963" w:type="dxa"/>
            <w:gridSpan w:val="2"/>
            <w:vAlign w:val="center"/>
          </w:tcPr>
          <w:p w14:paraId="3FD26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计费方式</w:t>
            </w:r>
          </w:p>
        </w:tc>
        <w:tc>
          <w:tcPr>
            <w:tcW w:w="2541" w:type="dxa"/>
            <w:vAlign w:val="center"/>
          </w:tcPr>
          <w:p w14:paraId="42EA6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计费费率或金额</w:t>
            </w:r>
          </w:p>
        </w:tc>
      </w:tr>
      <w:tr w14:paraId="2E76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94" w:type="dxa"/>
            <w:vMerge w:val="restart"/>
            <w:vAlign w:val="center"/>
          </w:tcPr>
          <w:p w14:paraId="79159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基础费用</w:t>
            </w:r>
          </w:p>
        </w:tc>
        <w:tc>
          <w:tcPr>
            <w:tcW w:w="4963" w:type="dxa"/>
            <w:gridSpan w:val="2"/>
            <w:vAlign w:val="center"/>
          </w:tcPr>
          <w:p w14:paraId="672A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目标公司位于德阳市范围内</w:t>
            </w:r>
          </w:p>
        </w:tc>
        <w:tc>
          <w:tcPr>
            <w:tcW w:w="2541" w:type="dxa"/>
            <w:vAlign w:val="center"/>
          </w:tcPr>
          <w:p w14:paraId="2358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6969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3E892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3" w:type="dxa"/>
            <w:gridSpan w:val="2"/>
            <w:vAlign w:val="center"/>
          </w:tcPr>
          <w:p w14:paraId="54A9F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目标公司位于四川省范围内</w:t>
            </w:r>
          </w:p>
          <w:p w14:paraId="71CC0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（德阳辖区除外）</w:t>
            </w:r>
          </w:p>
        </w:tc>
        <w:tc>
          <w:tcPr>
            <w:tcW w:w="2541" w:type="dxa"/>
            <w:vAlign w:val="center"/>
          </w:tcPr>
          <w:p w14:paraId="11BE7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4B81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94" w:type="dxa"/>
            <w:vMerge w:val="continue"/>
            <w:vAlign w:val="center"/>
          </w:tcPr>
          <w:p w14:paraId="0B96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3" w:type="dxa"/>
            <w:gridSpan w:val="2"/>
            <w:vAlign w:val="center"/>
          </w:tcPr>
          <w:p w14:paraId="7D55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目标公司位于四川省范围外</w:t>
            </w:r>
          </w:p>
        </w:tc>
        <w:tc>
          <w:tcPr>
            <w:tcW w:w="2541" w:type="dxa"/>
            <w:vAlign w:val="center"/>
          </w:tcPr>
          <w:p w14:paraId="37F33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770A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94" w:type="dxa"/>
            <w:vAlign w:val="center"/>
          </w:tcPr>
          <w:p w14:paraId="287D9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浮动费用</w:t>
            </w:r>
          </w:p>
        </w:tc>
        <w:tc>
          <w:tcPr>
            <w:tcW w:w="4963" w:type="dxa"/>
            <w:gridSpan w:val="2"/>
            <w:vAlign w:val="center"/>
          </w:tcPr>
          <w:p w14:paraId="1251A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目标公司的注册资本或净资产总额（以金额高者为准）乘以费率</w:t>
            </w:r>
          </w:p>
        </w:tc>
        <w:tc>
          <w:tcPr>
            <w:tcW w:w="2541" w:type="dxa"/>
            <w:vAlign w:val="center"/>
          </w:tcPr>
          <w:p w14:paraId="2A27A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‰</w:t>
            </w:r>
          </w:p>
        </w:tc>
      </w:tr>
      <w:tr w14:paraId="0FC9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94" w:type="dxa"/>
            <w:vMerge w:val="restart"/>
            <w:vAlign w:val="center"/>
          </w:tcPr>
          <w:p w14:paraId="0885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509" w:type="dxa"/>
            <w:vMerge w:val="restart"/>
            <w:vAlign w:val="center"/>
          </w:tcPr>
          <w:p w14:paraId="2C5C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目标公司的成立年限</w:t>
            </w:r>
          </w:p>
        </w:tc>
        <w:tc>
          <w:tcPr>
            <w:tcW w:w="3454" w:type="dxa"/>
            <w:vAlign w:val="center"/>
          </w:tcPr>
          <w:p w14:paraId="1197D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成立时间在5年以上、不足10年（含10年）</w:t>
            </w:r>
          </w:p>
        </w:tc>
        <w:tc>
          <w:tcPr>
            <w:tcW w:w="2541" w:type="dxa"/>
            <w:vAlign w:val="center"/>
          </w:tcPr>
          <w:p w14:paraId="0CB8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加收       元</w:t>
            </w:r>
          </w:p>
        </w:tc>
      </w:tr>
      <w:tr w14:paraId="04760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204B9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 w14:paraId="0FF04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4" w:type="dxa"/>
            <w:vAlign w:val="center"/>
          </w:tcPr>
          <w:p w14:paraId="78B8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成立时间在10年以上、不足20年（含20年）</w:t>
            </w:r>
          </w:p>
        </w:tc>
        <w:tc>
          <w:tcPr>
            <w:tcW w:w="2541" w:type="dxa"/>
            <w:vAlign w:val="center"/>
          </w:tcPr>
          <w:p w14:paraId="6FED2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加收       元</w:t>
            </w:r>
          </w:p>
        </w:tc>
      </w:tr>
      <w:tr w14:paraId="49CB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594" w:type="dxa"/>
            <w:vMerge w:val="continue"/>
            <w:vAlign w:val="center"/>
          </w:tcPr>
          <w:p w14:paraId="7427F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Merge w:val="continue"/>
            <w:vAlign w:val="center"/>
          </w:tcPr>
          <w:p w14:paraId="26FAD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4" w:type="dxa"/>
            <w:vAlign w:val="center"/>
          </w:tcPr>
          <w:p w14:paraId="45608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成立时间在20年以上</w:t>
            </w:r>
          </w:p>
        </w:tc>
        <w:tc>
          <w:tcPr>
            <w:tcW w:w="2541" w:type="dxa"/>
            <w:vAlign w:val="center"/>
          </w:tcPr>
          <w:p w14:paraId="5CEA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加收       元</w:t>
            </w:r>
          </w:p>
        </w:tc>
      </w:tr>
      <w:tr w14:paraId="1F31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94" w:type="dxa"/>
            <w:vMerge w:val="continue"/>
            <w:vAlign w:val="center"/>
          </w:tcPr>
          <w:p w14:paraId="6AADE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63" w:type="dxa"/>
            <w:gridSpan w:val="2"/>
            <w:vAlign w:val="center"/>
          </w:tcPr>
          <w:p w14:paraId="007D6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目标公司的控股公司或参股公司数量</w:t>
            </w:r>
          </w:p>
        </w:tc>
        <w:tc>
          <w:tcPr>
            <w:tcW w:w="2541" w:type="dxa"/>
            <w:vAlign w:val="center"/>
          </w:tcPr>
          <w:p w14:paraId="0A419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每增加一家，</w:t>
            </w:r>
          </w:p>
          <w:p w14:paraId="4EFF3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加收       元</w:t>
            </w:r>
          </w:p>
        </w:tc>
      </w:tr>
      <w:tr w14:paraId="4F46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557" w:type="dxa"/>
            <w:gridSpan w:val="3"/>
            <w:vAlign w:val="center"/>
          </w:tcPr>
          <w:p w14:paraId="63DE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最高收费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（即每件事项的服务费用最高不超过的价格）</w:t>
            </w:r>
          </w:p>
        </w:tc>
        <w:tc>
          <w:tcPr>
            <w:tcW w:w="2541" w:type="dxa"/>
            <w:vAlign w:val="center"/>
          </w:tcPr>
          <w:p w14:paraId="4ECF4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</w:tbl>
    <w:p w14:paraId="5F433CA0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240" w:lineRule="auto"/>
        <w:jc w:val="both"/>
        <w:textAlignment w:val="baseline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  3.重大资产收购（不含股权并购）尽职调查</w:t>
      </w:r>
    </w:p>
    <w:p w14:paraId="00EC1E20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240" w:lineRule="auto"/>
        <w:ind w:firstLine="281" w:firstLineChars="100"/>
        <w:jc w:val="both"/>
        <w:textAlignment w:val="baseline"/>
        <w:rPr>
          <w:rFonts w:hint="default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服务费用计算式：服务费用=基础费用+浮动费用</w:t>
      </w:r>
    </w:p>
    <w:tbl>
      <w:tblPr>
        <w:tblStyle w:val="4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4437"/>
        <w:gridCol w:w="2577"/>
      </w:tblGrid>
      <w:tr w14:paraId="6BE7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84" w:type="dxa"/>
            <w:vAlign w:val="center"/>
          </w:tcPr>
          <w:p w14:paraId="45D66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计费类别</w:t>
            </w:r>
          </w:p>
        </w:tc>
        <w:tc>
          <w:tcPr>
            <w:tcW w:w="4437" w:type="dxa"/>
            <w:vAlign w:val="center"/>
          </w:tcPr>
          <w:p w14:paraId="027F9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计费方式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AFC2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计费费率或金额</w:t>
            </w:r>
          </w:p>
        </w:tc>
      </w:tr>
      <w:tr w14:paraId="31DE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84" w:type="dxa"/>
            <w:vMerge w:val="restart"/>
            <w:vAlign w:val="center"/>
          </w:tcPr>
          <w:p w14:paraId="3B1D7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基础费用</w:t>
            </w:r>
          </w:p>
        </w:tc>
        <w:tc>
          <w:tcPr>
            <w:tcW w:w="4437" w:type="dxa"/>
            <w:vAlign w:val="center"/>
          </w:tcPr>
          <w:p w14:paraId="0ACD0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拟收购资产位于德阳市范围内</w:t>
            </w:r>
          </w:p>
        </w:tc>
        <w:tc>
          <w:tcPr>
            <w:tcW w:w="2577" w:type="dxa"/>
            <w:vAlign w:val="center"/>
          </w:tcPr>
          <w:p w14:paraId="7CBB7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19FB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84" w:type="dxa"/>
            <w:vMerge w:val="continue"/>
            <w:vAlign w:val="center"/>
          </w:tcPr>
          <w:p w14:paraId="56DEA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37" w:type="dxa"/>
            <w:vAlign w:val="center"/>
          </w:tcPr>
          <w:p w14:paraId="08C80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拟收购资产位于四川省范围内（德阳辖区除外）</w:t>
            </w:r>
          </w:p>
        </w:tc>
        <w:tc>
          <w:tcPr>
            <w:tcW w:w="2577" w:type="dxa"/>
            <w:vAlign w:val="center"/>
          </w:tcPr>
          <w:p w14:paraId="1B894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6612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84" w:type="dxa"/>
            <w:vMerge w:val="continue"/>
            <w:vAlign w:val="center"/>
          </w:tcPr>
          <w:p w14:paraId="20AA9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37" w:type="dxa"/>
            <w:vAlign w:val="center"/>
          </w:tcPr>
          <w:p w14:paraId="59F38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拟收购资产位于四川省范围外</w:t>
            </w:r>
          </w:p>
        </w:tc>
        <w:tc>
          <w:tcPr>
            <w:tcW w:w="2577" w:type="dxa"/>
            <w:vAlign w:val="center"/>
          </w:tcPr>
          <w:p w14:paraId="40D1E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4E04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84" w:type="dxa"/>
            <w:vAlign w:val="center"/>
          </w:tcPr>
          <w:p w14:paraId="0D385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浮动费用</w:t>
            </w:r>
          </w:p>
        </w:tc>
        <w:tc>
          <w:tcPr>
            <w:tcW w:w="4437" w:type="dxa"/>
            <w:vAlign w:val="center"/>
          </w:tcPr>
          <w:p w14:paraId="5D34F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拟收购资产的财产金额乘以费率</w:t>
            </w:r>
          </w:p>
        </w:tc>
        <w:tc>
          <w:tcPr>
            <w:tcW w:w="2577" w:type="dxa"/>
            <w:vAlign w:val="center"/>
          </w:tcPr>
          <w:p w14:paraId="5D510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‰</w:t>
            </w:r>
          </w:p>
        </w:tc>
      </w:tr>
      <w:tr w14:paraId="74BB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221" w:type="dxa"/>
            <w:gridSpan w:val="2"/>
            <w:vAlign w:val="center"/>
          </w:tcPr>
          <w:p w14:paraId="569C0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最高收费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（即每件事项的服务费用最高不超过的价格）</w:t>
            </w:r>
          </w:p>
        </w:tc>
        <w:tc>
          <w:tcPr>
            <w:tcW w:w="2577" w:type="dxa"/>
            <w:vAlign w:val="center"/>
          </w:tcPr>
          <w:p w14:paraId="292DA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</w:tbl>
    <w:p w14:paraId="00445E13"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960"/>
          <w:tab w:val="left" w:pos="1279"/>
          <w:tab w:val="left" w:pos="8730"/>
          <w:tab w:val="clear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240" w:lineRule="auto"/>
        <w:ind w:left="622" w:leftChars="0" w:firstLine="0" w:firstLineChars="0"/>
        <w:jc w:val="both"/>
        <w:textAlignment w:val="baseline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重大事项出具书面法律意见书</w:t>
      </w:r>
    </w:p>
    <w:p w14:paraId="2DA55C13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240" w:lineRule="auto"/>
        <w:ind w:left="622" w:leftChars="0"/>
        <w:jc w:val="both"/>
        <w:textAlignment w:val="baseline"/>
        <w:rPr>
          <w:rFonts w:hint="default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服务费用计算式：服务费用=基础费用+浮动费用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431"/>
        <w:gridCol w:w="2627"/>
      </w:tblGrid>
      <w:tr w14:paraId="70319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0" w:type="dxa"/>
            <w:vAlign w:val="center"/>
          </w:tcPr>
          <w:p w14:paraId="44FC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计费类别</w:t>
            </w:r>
          </w:p>
        </w:tc>
        <w:tc>
          <w:tcPr>
            <w:tcW w:w="4431" w:type="dxa"/>
            <w:vAlign w:val="center"/>
          </w:tcPr>
          <w:p w14:paraId="68BCA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计费方式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483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计费费率或金额</w:t>
            </w:r>
          </w:p>
        </w:tc>
      </w:tr>
      <w:tr w14:paraId="1072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91" w:type="dxa"/>
            <w:gridSpan w:val="2"/>
            <w:vAlign w:val="center"/>
          </w:tcPr>
          <w:p w14:paraId="02E8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基础费用</w:t>
            </w:r>
          </w:p>
        </w:tc>
        <w:tc>
          <w:tcPr>
            <w:tcW w:w="2627" w:type="dxa"/>
            <w:vAlign w:val="center"/>
          </w:tcPr>
          <w:p w14:paraId="270C8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4DA1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0" w:type="dxa"/>
            <w:vAlign w:val="center"/>
          </w:tcPr>
          <w:p w14:paraId="4A8AC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浮动费用</w:t>
            </w:r>
          </w:p>
        </w:tc>
        <w:tc>
          <w:tcPr>
            <w:tcW w:w="4431" w:type="dxa"/>
            <w:vAlign w:val="center"/>
          </w:tcPr>
          <w:p w14:paraId="5FCBF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该事项涉及的财产金额乘以费率</w:t>
            </w:r>
          </w:p>
        </w:tc>
        <w:tc>
          <w:tcPr>
            <w:tcW w:w="2627" w:type="dxa"/>
            <w:vAlign w:val="center"/>
          </w:tcPr>
          <w:p w14:paraId="3EC6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‰</w:t>
            </w:r>
          </w:p>
        </w:tc>
      </w:tr>
      <w:tr w14:paraId="5320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091" w:type="dxa"/>
            <w:gridSpan w:val="2"/>
            <w:vAlign w:val="center"/>
          </w:tcPr>
          <w:p w14:paraId="2274B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最高收费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（即每件事项的服务费用最高不超过的价格）</w:t>
            </w:r>
          </w:p>
        </w:tc>
        <w:tc>
          <w:tcPr>
            <w:tcW w:w="2627" w:type="dxa"/>
            <w:vAlign w:val="center"/>
          </w:tcPr>
          <w:p w14:paraId="6DB0E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</w:tbl>
    <w:p w14:paraId="72CF682B"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960"/>
          <w:tab w:val="left" w:pos="1279"/>
          <w:tab w:val="left" w:pos="8730"/>
          <w:tab w:val="clear" w:pos="31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240" w:lineRule="auto"/>
        <w:ind w:left="622" w:leftChars="0" w:firstLine="0" w:firstLineChars="0"/>
        <w:jc w:val="both"/>
        <w:textAlignment w:val="baseline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投资并购、资产收购全程法律服务</w:t>
      </w:r>
    </w:p>
    <w:p w14:paraId="29ABC053"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60"/>
          <w:tab w:val="left" w:pos="1279"/>
          <w:tab w:val="left" w:pos="873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240" w:lineRule="auto"/>
        <w:ind w:left="622" w:leftChars="0"/>
        <w:jc w:val="both"/>
        <w:textAlignment w:val="baseline"/>
        <w:rPr>
          <w:rFonts w:hint="default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服务费用计算式：服务费用=基础费用+浮动费用</w:t>
      </w:r>
    </w:p>
    <w:tbl>
      <w:tblPr>
        <w:tblStyle w:val="4"/>
        <w:tblW w:w="8938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978"/>
        <w:gridCol w:w="2435"/>
      </w:tblGrid>
      <w:tr w14:paraId="622D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5" w:type="dxa"/>
            <w:vAlign w:val="center"/>
          </w:tcPr>
          <w:p w14:paraId="1231F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计费类别</w:t>
            </w:r>
          </w:p>
        </w:tc>
        <w:tc>
          <w:tcPr>
            <w:tcW w:w="4978" w:type="dxa"/>
            <w:vAlign w:val="center"/>
          </w:tcPr>
          <w:p w14:paraId="060DC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计费方式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4632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计费费率或金额</w:t>
            </w:r>
          </w:p>
        </w:tc>
      </w:tr>
      <w:tr w14:paraId="0BCE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5" w:type="dxa"/>
            <w:vMerge w:val="restart"/>
            <w:vAlign w:val="center"/>
          </w:tcPr>
          <w:p w14:paraId="648C0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基础费用</w:t>
            </w:r>
          </w:p>
        </w:tc>
        <w:tc>
          <w:tcPr>
            <w:tcW w:w="4978" w:type="dxa"/>
            <w:shd w:val="clear" w:color="auto" w:fill="auto"/>
            <w:vAlign w:val="center"/>
          </w:tcPr>
          <w:p w14:paraId="00A7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目标公司或拟收购资产位于</w:t>
            </w:r>
          </w:p>
          <w:p w14:paraId="68E7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德阳市范围内</w:t>
            </w:r>
          </w:p>
        </w:tc>
        <w:tc>
          <w:tcPr>
            <w:tcW w:w="2435" w:type="dxa"/>
            <w:vAlign w:val="center"/>
          </w:tcPr>
          <w:p w14:paraId="47FA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0B69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5" w:type="dxa"/>
            <w:vMerge w:val="continue"/>
            <w:vAlign w:val="center"/>
          </w:tcPr>
          <w:p w14:paraId="1BC25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14:paraId="75C43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目标公司或拟收购资产位于</w:t>
            </w:r>
          </w:p>
          <w:p w14:paraId="44F1C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四川省范围内（德阳辖区除外）</w:t>
            </w:r>
          </w:p>
        </w:tc>
        <w:tc>
          <w:tcPr>
            <w:tcW w:w="2435" w:type="dxa"/>
            <w:vAlign w:val="center"/>
          </w:tcPr>
          <w:p w14:paraId="2BA9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4BD8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25" w:type="dxa"/>
            <w:vMerge w:val="continue"/>
            <w:vAlign w:val="center"/>
          </w:tcPr>
          <w:p w14:paraId="61460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8" w:type="dxa"/>
            <w:shd w:val="clear" w:color="auto" w:fill="auto"/>
            <w:vAlign w:val="center"/>
          </w:tcPr>
          <w:p w14:paraId="1175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目标公司或拟收购资产位于</w:t>
            </w:r>
          </w:p>
          <w:p w14:paraId="7561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四川省范围外</w:t>
            </w:r>
          </w:p>
        </w:tc>
        <w:tc>
          <w:tcPr>
            <w:tcW w:w="2435" w:type="dxa"/>
            <w:vAlign w:val="center"/>
          </w:tcPr>
          <w:p w14:paraId="4708A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726B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5" w:type="dxa"/>
            <w:vAlign w:val="center"/>
          </w:tcPr>
          <w:p w14:paraId="621A8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浮动费用</w:t>
            </w:r>
          </w:p>
        </w:tc>
        <w:tc>
          <w:tcPr>
            <w:tcW w:w="4978" w:type="dxa"/>
            <w:vAlign w:val="center"/>
          </w:tcPr>
          <w:p w14:paraId="17643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目标公司的注册资本或净资产总额（以金额高者为准）/拟收购资产的财产金额乘以费率</w:t>
            </w:r>
          </w:p>
        </w:tc>
        <w:tc>
          <w:tcPr>
            <w:tcW w:w="2435" w:type="dxa"/>
            <w:vAlign w:val="center"/>
          </w:tcPr>
          <w:p w14:paraId="3B1DE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‰</w:t>
            </w:r>
          </w:p>
        </w:tc>
      </w:tr>
      <w:tr w14:paraId="610A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03" w:type="dxa"/>
            <w:gridSpan w:val="2"/>
            <w:vAlign w:val="center"/>
          </w:tcPr>
          <w:p w14:paraId="4EF9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最高收费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（即每件事项的服务费用最高不超过的价格）</w:t>
            </w:r>
          </w:p>
        </w:tc>
        <w:tc>
          <w:tcPr>
            <w:tcW w:w="2435" w:type="dxa"/>
            <w:vAlign w:val="center"/>
          </w:tcPr>
          <w:p w14:paraId="21643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</w:tbl>
    <w:p w14:paraId="44FE049F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rPr>
          <w:rFonts w:ascii="Arial"/>
          <w:color w:val="auto"/>
          <w:sz w:val="21"/>
        </w:rPr>
      </w:pPr>
    </w:p>
    <w:p w14:paraId="41179C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00" w:lineRule="exact"/>
        <w:ind w:left="11" w:right="0" w:firstLine="482"/>
        <w:jc w:val="both"/>
        <w:textAlignment w:val="baseline"/>
        <w:rPr>
          <w:color w:val="auto"/>
          <w:sz w:val="24"/>
          <w:szCs w:val="24"/>
        </w:rPr>
      </w:pPr>
      <w:r>
        <w:rPr>
          <w:b/>
          <w:bCs/>
          <w:color w:val="auto"/>
          <w:spacing w:val="-4"/>
          <w:sz w:val="24"/>
          <w:szCs w:val="24"/>
        </w:rPr>
        <w:t>注：</w:t>
      </w:r>
      <w:r>
        <w:rPr>
          <w:color w:val="auto"/>
          <w:spacing w:val="-4"/>
          <w:sz w:val="24"/>
          <w:szCs w:val="24"/>
        </w:rPr>
        <w:t xml:space="preserve"> </w:t>
      </w:r>
      <w:r>
        <w:rPr>
          <w:b/>
          <w:bCs/>
          <w:color w:val="auto"/>
          <w:spacing w:val="-4"/>
          <w:sz w:val="24"/>
          <w:szCs w:val="24"/>
        </w:rPr>
        <w:t>所有报价均用人民币表示，该费用为</w:t>
      </w:r>
      <w:r>
        <w:rPr>
          <w:rFonts w:hint="eastAsia"/>
          <w:b/>
          <w:bCs/>
          <w:color w:val="auto"/>
          <w:spacing w:val="-1"/>
          <w:sz w:val="24"/>
          <w:szCs w:val="24"/>
        </w:rPr>
        <w:t>固定包干</w:t>
      </w:r>
      <w:r>
        <w:rPr>
          <w:rFonts w:hint="eastAsia"/>
          <w:b/>
          <w:bCs/>
          <w:color w:val="auto"/>
          <w:spacing w:val="-1"/>
          <w:sz w:val="24"/>
          <w:szCs w:val="24"/>
          <w:lang w:val="en-US" w:eastAsia="zh-CN"/>
        </w:rPr>
        <w:t>费用</w:t>
      </w:r>
      <w:r>
        <w:rPr>
          <w:rFonts w:hint="eastAsia"/>
          <w:b/>
          <w:bCs/>
          <w:color w:val="auto"/>
          <w:spacing w:val="-1"/>
          <w:sz w:val="24"/>
          <w:szCs w:val="24"/>
        </w:rPr>
        <w:t>，包括但不限于人工费、材料费、差旅费（本省省内范围）、税费、利润、保险等为完成本项目约定服务的所有费用， 以及后续服务费。但供应商为公司办理法律事务过程中，省外差旅费及第三方单位收取的费用（如诉讼费、保全费、鉴定费等）由公司承担。</w:t>
      </w:r>
    </w:p>
    <w:p w14:paraId="6717BC33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rPr>
          <w:rFonts w:ascii="Arial"/>
          <w:color w:val="auto"/>
          <w:sz w:val="21"/>
        </w:rPr>
      </w:pPr>
    </w:p>
    <w:p w14:paraId="49426758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rPr>
          <w:rFonts w:ascii="Arial"/>
          <w:color w:val="auto"/>
          <w:sz w:val="21"/>
        </w:rPr>
      </w:pPr>
    </w:p>
    <w:p w14:paraId="5D178F93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rPr>
          <w:rFonts w:ascii="Arial"/>
          <w:color w:val="auto"/>
          <w:sz w:val="21"/>
        </w:rPr>
      </w:pPr>
    </w:p>
    <w:p w14:paraId="2F33D185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rPr>
          <w:rFonts w:ascii="Arial"/>
          <w:color w:val="auto"/>
          <w:sz w:val="21"/>
        </w:rPr>
      </w:pPr>
    </w:p>
    <w:p w14:paraId="61EA5411">
      <w:pPr>
        <w:pStyle w:val="2"/>
        <w:keepNext w:val="0"/>
        <w:keepLines w:val="0"/>
        <w:pageBreakBefore w:val="0"/>
        <w:tabs>
          <w:tab w:val="left" w:pos="8055"/>
        </w:tabs>
        <w:wordWrap/>
        <w:overflowPunct/>
        <w:topLinePunct w:val="0"/>
        <w:bidi w:val="0"/>
        <w:spacing w:before="101" w:line="500" w:lineRule="exact"/>
        <w:ind w:left="3591" w:right="673" w:firstLine="9"/>
        <w:jc w:val="both"/>
        <w:rPr>
          <w:color w:val="auto"/>
          <w:u w:val="single" w:color="auto"/>
        </w:rPr>
      </w:pPr>
      <w:r>
        <w:rPr>
          <w:b/>
          <w:bCs/>
          <w:color w:val="auto"/>
          <w:spacing w:val="-6"/>
        </w:rPr>
        <w:t>单位名称</w:t>
      </w:r>
      <w:r>
        <w:rPr>
          <w:b/>
          <w:bCs/>
          <w:color w:val="auto"/>
          <w:spacing w:val="-22"/>
        </w:rPr>
        <w:t>：</w:t>
      </w:r>
      <w:r>
        <w:rPr>
          <w:color w:val="auto"/>
          <w:spacing w:val="37"/>
          <w:u w:val="single" w:color="auto"/>
        </w:rPr>
        <w:t xml:space="preserve">    </w:t>
      </w:r>
      <w:r>
        <w:rPr>
          <w:b/>
          <w:bCs/>
          <w:color w:val="auto"/>
          <w:spacing w:val="-22"/>
          <w:u w:val="single" w:color="auto"/>
        </w:rPr>
        <w:t>（</w:t>
      </w:r>
      <w:r>
        <w:rPr>
          <w:b/>
          <w:bCs/>
          <w:color w:val="auto"/>
          <w:spacing w:val="-6"/>
          <w:u w:val="single" w:color="auto"/>
        </w:rPr>
        <w:t>公章）</w:t>
      </w:r>
      <w:r>
        <w:rPr>
          <w:color w:val="auto"/>
          <w:u w:val="single" w:color="auto"/>
        </w:rPr>
        <w:tab/>
      </w:r>
    </w:p>
    <w:p w14:paraId="0B2F2FB1">
      <w:pPr>
        <w:pStyle w:val="2"/>
        <w:keepNext w:val="0"/>
        <w:keepLines w:val="0"/>
        <w:pageBreakBefore w:val="0"/>
        <w:tabs>
          <w:tab w:val="left" w:pos="8055"/>
        </w:tabs>
        <w:wordWrap/>
        <w:overflowPunct/>
        <w:topLinePunct w:val="0"/>
        <w:bidi w:val="0"/>
        <w:spacing w:before="101" w:line="500" w:lineRule="exact"/>
        <w:ind w:left="3591" w:right="673" w:firstLine="9"/>
        <w:jc w:val="both"/>
        <w:rPr>
          <w:color w:val="auto"/>
        </w:rPr>
      </w:pPr>
      <w:r>
        <w:rPr>
          <w:b/>
          <w:bCs/>
          <w:color w:val="auto"/>
          <w:spacing w:val="-14"/>
        </w:rPr>
        <w:t>联</w:t>
      </w:r>
      <w:r>
        <w:rPr>
          <w:color w:val="auto"/>
          <w:spacing w:val="48"/>
        </w:rPr>
        <w:t xml:space="preserve"> </w:t>
      </w:r>
      <w:r>
        <w:rPr>
          <w:b/>
          <w:bCs/>
          <w:color w:val="auto"/>
          <w:spacing w:val="-14"/>
        </w:rPr>
        <w:t>系</w:t>
      </w:r>
      <w:r>
        <w:rPr>
          <w:color w:val="auto"/>
          <w:spacing w:val="29"/>
        </w:rPr>
        <w:t xml:space="preserve"> </w:t>
      </w:r>
      <w:r>
        <w:rPr>
          <w:b/>
          <w:bCs/>
          <w:color w:val="auto"/>
          <w:spacing w:val="-14"/>
        </w:rPr>
        <w:t>人：</w:t>
      </w:r>
      <w:r>
        <w:rPr>
          <w:color w:val="auto"/>
          <w:u w:val="single" w:color="auto"/>
        </w:rPr>
        <w:tab/>
      </w:r>
      <w:r>
        <w:rPr>
          <w:color w:val="auto"/>
        </w:rPr>
        <w:t xml:space="preserve"> </w:t>
      </w:r>
    </w:p>
    <w:p w14:paraId="363A23D1">
      <w:pPr>
        <w:pStyle w:val="2"/>
        <w:keepNext w:val="0"/>
        <w:keepLines w:val="0"/>
        <w:pageBreakBefore w:val="0"/>
        <w:tabs>
          <w:tab w:val="left" w:pos="8055"/>
        </w:tabs>
        <w:wordWrap/>
        <w:overflowPunct/>
        <w:topLinePunct w:val="0"/>
        <w:bidi w:val="0"/>
        <w:spacing w:before="101" w:line="500" w:lineRule="exact"/>
        <w:ind w:left="3591" w:right="673" w:firstLine="9"/>
        <w:jc w:val="both"/>
        <w:rPr>
          <w:color w:val="auto"/>
        </w:rPr>
      </w:pPr>
      <w:r>
        <w:rPr>
          <w:b/>
          <w:bCs/>
          <w:color w:val="auto"/>
          <w:spacing w:val="3"/>
        </w:rPr>
        <w:t>联系电话：</w:t>
      </w:r>
      <w:r>
        <w:rPr>
          <w:color w:val="auto"/>
          <w:u w:val="single" w:color="auto"/>
        </w:rPr>
        <w:tab/>
      </w:r>
      <w:r>
        <w:rPr>
          <w:color w:val="auto"/>
        </w:rPr>
        <w:t xml:space="preserve"> </w:t>
      </w:r>
    </w:p>
    <w:p w14:paraId="2D822E6D">
      <w:pPr>
        <w:pStyle w:val="2"/>
        <w:keepNext w:val="0"/>
        <w:keepLines w:val="0"/>
        <w:pageBreakBefore w:val="0"/>
        <w:tabs>
          <w:tab w:val="left" w:pos="8055"/>
        </w:tabs>
        <w:wordWrap/>
        <w:overflowPunct/>
        <w:topLinePunct w:val="0"/>
        <w:bidi w:val="0"/>
        <w:spacing w:before="101" w:line="500" w:lineRule="exact"/>
        <w:ind w:left="3591" w:right="673" w:firstLine="9"/>
        <w:jc w:val="both"/>
        <w:rPr>
          <w:color w:val="auto"/>
        </w:rPr>
      </w:pPr>
      <w:bookmarkStart w:id="0" w:name="_GoBack"/>
      <w:r>
        <w:rPr>
          <w:b/>
          <w:bCs/>
          <w:color w:val="auto"/>
          <w:spacing w:val="-25"/>
        </w:rPr>
        <w:t>日</w:t>
      </w:r>
      <w:r>
        <w:rPr>
          <w:color w:val="auto"/>
          <w:spacing w:val="13"/>
        </w:rPr>
        <w:t xml:space="preserve">  </w:t>
      </w:r>
      <w:r>
        <w:rPr>
          <w:rFonts w:hint="eastAsia"/>
          <w:color w:val="auto"/>
          <w:spacing w:val="13"/>
          <w:lang w:val="en-US" w:eastAsia="zh-CN"/>
        </w:rPr>
        <w:t xml:space="preserve"> </w:t>
      </w:r>
      <w:r>
        <w:rPr>
          <w:color w:val="auto"/>
          <w:spacing w:val="13"/>
        </w:rPr>
        <w:t xml:space="preserve"> </w:t>
      </w:r>
      <w:r>
        <w:rPr>
          <w:b/>
          <w:bCs/>
          <w:color w:val="auto"/>
          <w:spacing w:val="-25"/>
        </w:rPr>
        <w:t>期：</w:t>
      </w:r>
      <w:r>
        <w:rPr>
          <w:color w:val="auto"/>
          <w:spacing w:val="5"/>
          <w:u w:val="single" w:color="auto"/>
        </w:rPr>
        <w:t xml:space="preserve">     </w:t>
      </w:r>
      <w:r>
        <w:rPr>
          <w:color w:val="auto"/>
          <w:spacing w:val="-136"/>
        </w:rPr>
        <w:t xml:space="preserve"> </w:t>
      </w:r>
      <w:r>
        <w:rPr>
          <w:b/>
          <w:bCs/>
          <w:color w:val="auto"/>
          <w:spacing w:val="-25"/>
        </w:rPr>
        <w:t>年</w:t>
      </w:r>
      <w:r>
        <w:rPr>
          <w:color w:val="auto"/>
          <w:spacing w:val="-155"/>
        </w:rPr>
        <w:t xml:space="preserve"> </w:t>
      </w:r>
      <w:r>
        <w:rPr>
          <w:color w:val="auto"/>
          <w:spacing w:val="5"/>
          <w:u w:val="single" w:color="auto"/>
        </w:rPr>
        <w:t xml:space="preserve">  </w:t>
      </w:r>
      <w:r>
        <w:rPr>
          <w:color w:val="auto"/>
          <w:spacing w:val="-125"/>
        </w:rPr>
        <w:t xml:space="preserve"> </w:t>
      </w:r>
      <w:r>
        <w:rPr>
          <w:b/>
          <w:bCs/>
          <w:color w:val="auto"/>
          <w:spacing w:val="-25"/>
        </w:rPr>
        <w:t>月</w:t>
      </w:r>
      <w:r>
        <w:rPr>
          <w:color w:val="auto"/>
          <w:spacing w:val="-153"/>
        </w:rPr>
        <w:t xml:space="preserve"> </w:t>
      </w:r>
      <w:r>
        <w:rPr>
          <w:color w:val="auto"/>
          <w:spacing w:val="5"/>
          <w:u w:val="single" w:color="auto"/>
        </w:rPr>
        <w:t xml:space="preserve">  </w:t>
      </w:r>
      <w:r>
        <w:rPr>
          <w:b/>
          <w:bCs/>
          <w:color w:val="auto"/>
          <w:spacing w:val="-25"/>
        </w:rPr>
        <w:t>日</w:t>
      </w:r>
    </w:p>
    <w:bookmarkEnd w:id="0"/>
    <w:sectPr>
      <w:headerReference r:id="rId5" w:type="default"/>
      <w:footerReference r:id="rId6" w:type="default"/>
      <w:pgSz w:w="11907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7910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28E9A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4AA0F"/>
    <w:multiLevelType w:val="singleLevel"/>
    <w:tmpl w:val="0754AA0F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622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E6788B"/>
    <w:rsid w:val="1B6F1962"/>
    <w:rsid w:val="1B9C027D"/>
    <w:rsid w:val="1C3C1E70"/>
    <w:rsid w:val="21064B04"/>
    <w:rsid w:val="23DC56BB"/>
    <w:rsid w:val="2423153B"/>
    <w:rsid w:val="2AA0398D"/>
    <w:rsid w:val="2E351396"/>
    <w:rsid w:val="2EED749F"/>
    <w:rsid w:val="30016F94"/>
    <w:rsid w:val="38851A2C"/>
    <w:rsid w:val="39007557"/>
    <w:rsid w:val="4CD32F17"/>
    <w:rsid w:val="4DEE5442"/>
    <w:rsid w:val="4E707C0C"/>
    <w:rsid w:val="4EE9442B"/>
    <w:rsid w:val="4EED33C9"/>
    <w:rsid w:val="4FDF015D"/>
    <w:rsid w:val="569970A3"/>
    <w:rsid w:val="609E29E7"/>
    <w:rsid w:val="60E5113A"/>
    <w:rsid w:val="6177793E"/>
    <w:rsid w:val="663D7982"/>
    <w:rsid w:val="72380DF1"/>
    <w:rsid w:val="7309711B"/>
    <w:rsid w:val="74D87C39"/>
    <w:rsid w:val="76326989"/>
    <w:rsid w:val="7BE35731"/>
    <w:rsid w:val="7E8F3754"/>
    <w:rsid w:val="7FC21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2755</Words>
  <Characters>2848</Characters>
  <TotalTime>31</TotalTime>
  <ScaleCrop>false</ScaleCrop>
  <LinksUpToDate>false</LinksUpToDate>
  <CharactersWithSpaces>3122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2024-04-26T14:18:00Z</dcterms:created>
  <dc:creator>PC</dc:creator>
  <cp:lastModifiedBy>Administrator</cp:lastModifiedBy>
  <cp:lastPrinted>2025-02-07T06:17:00Z</cp:lastPrinted>
  <dcterms:modified xsi:type="dcterms:W3CDTF">2025-03-04T01:47:50Z</dcterms:modified>
  <dc:title>2024.04.26s”Ä ÛÇ§6÷nı ‘—ˆå.docx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2024-06-07T11:41:06Z</vt:filetime>
  </property>
  <property fmtid="{D5CDD505-2E9C-101B-9397-08002B2CF9AE}" pid="4" name="KSOTemplateDocerSaveRecord">
    <vt:lpwstr>eyJoZGlkIjoiZDk2NTIxNDkxZjRkZTljN2YyYjlmODkwOGI4YjRiMTgiLCJ1c2VySWQiOiI0NzIzODg0NTEifQ==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0814D8597FB0409980416537A2717168_13</vt:lpwstr>
  </property>
</Properties>
</file>