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2"/>
        <w:jc w:val="center"/>
        <w:rPr>
          <w:rFonts w:hint="eastAsia" w:ascii="宋体" w:hAnsi="宋体" w:cs="宋体"/>
          <w:sz w:val="36"/>
          <w:szCs w:val="36"/>
        </w:rPr>
      </w:pPr>
      <w:bookmarkStart w:id="0" w:name="_Toc517447495"/>
      <w:r>
        <w:rPr>
          <w:rFonts w:hint="eastAsia" w:ascii="宋体" w:hAnsi="宋体" w:cs="宋体"/>
          <w:sz w:val="36"/>
          <w:szCs w:val="36"/>
          <w:lang w:val="en-US" w:eastAsia="zh-CN"/>
        </w:rPr>
        <w:t>水保方案编制及水保监测</w:t>
      </w:r>
      <w:r>
        <w:rPr>
          <w:rFonts w:hint="eastAsia" w:ascii="宋体" w:hAnsi="宋体" w:cs="宋体"/>
          <w:sz w:val="36"/>
          <w:szCs w:val="36"/>
        </w:rPr>
        <w:t>采购合同（草案）</w:t>
      </w:r>
      <w:bookmarkEnd w:id="0"/>
    </w:p>
    <w:p w14:paraId="05207E9F">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50864527"/>
      <w:bookmarkStart w:id="3" w:name="_Toc349810624"/>
      <w:r>
        <w:rPr>
          <w:rFonts w:hint="eastAsia" w:ascii="宋体" w:hAnsi="宋体"/>
        </w:rPr>
        <w:t xml:space="preserve">合同编号：XXX                                         </w:t>
      </w:r>
    </w:p>
    <w:p w14:paraId="39F9263E">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采购人（甲方）：</w:t>
      </w:r>
      <w:r>
        <w:rPr>
          <w:rFonts w:hint="eastAsia" w:ascii="宋体" w:hAnsi="宋体"/>
          <w:lang w:val="en-US" w:eastAsia="zh-CN"/>
        </w:rPr>
        <w:t>德阳高鸿城市建设有限责任公司</w:t>
      </w:r>
      <w:r>
        <w:rPr>
          <w:rFonts w:hint="eastAsia" w:ascii="宋体" w:hAnsi="宋体"/>
        </w:rPr>
        <w:t xml:space="preserve">                                         </w:t>
      </w:r>
    </w:p>
    <w:p w14:paraId="1A8C9818">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w:t>
      </w:r>
      <w:bookmarkStart w:id="56" w:name="_GoBack"/>
      <w:bookmarkEnd w:id="56"/>
      <w:r>
        <w:rPr>
          <w:rFonts w:hint="eastAsia" w:cs="宋体"/>
          <w:kern w:val="2"/>
          <w:sz w:val="24"/>
          <w:szCs w:val="24"/>
          <w:lang w:bidi="ar"/>
        </w:rPr>
        <w:t>，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val="0"/>
          <w:bCs/>
          <w:sz w:val="24"/>
          <w:lang w:val="en-US" w:eastAsia="zh-CN" w:bidi="ar"/>
        </w:rPr>
      </w:pPr>
      <w:r>
        <w:rPr>
          <w:rFonts w:hint="eastAsia" w:ascii="宋体" w:hAnsi="宋体" w:cs="宋体"/>
          <w:b w:val="0"/>
          <w:bCs/>
          <w:sz w:val="24"/>
          <w:lang w:val="en-US" w:eastAsia="zh-CN" w:bidi="ar"/>
        </w:rPr>
        <w:t>1、项目概况：二期占地面积约59.2亩，拟修建约1126套，总建筑面积约15.54万平方米，包括住宅、商业、配套用房、道路、照明、管网、安防、消防等配套设施。最终以规划批准的设计方案为准。</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750D8F5A">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s="宋体"/>
          <w:b w:val="0"/>
          <w:bCs/>
          <w:sz w:val="24"/>
          <w:lang w:val="en-US" w:eastAsia="zh-CN" w:bidi="ar"/>
        </w:rPr>
      </w:pPr>
      <w:bookmarkStart w:id="4" w:name="_Toc239568418"/>
      <w:bookmarkStart w:id="5" w:name="_Toc225654644"/>
      <w:bookmarkStart w:id="6" w:name="_Toc212019594"/>
      <w:bookmarkStart w:id="7" w:name="_Toc185395249"/>
      <w:bookmarkStart w:id="8" w:name="_Toc239233914"/>
      <w:bookmarkStart w:id="9" w:name="_Toc211854449"/>
      <w:bookmarkStart w:id="10" w:name="_Toc238984975"/>
      <w:bookmarkStart w:id="11" w:name="_Toc241833903"/>
      <w:bookmarkStart w:id="12" w:name="_Toc232492928"/>
      <w:bookmarkStart w:id="13" w:name="_Toc282696226"/>
      <w:bookmarkStart w:id="14" w:name="_Toc247334841"/>
      <w:bookmarkStart w:id="15" w:name="_Toc283019214"/>
      <w:bookmarkStart w:id="16" w:name="_Toc251768862"/>
      <w:bookmarkStart w:id="17" w:name="_Toc286993786"/>
      <w:bookmarkStart w:id="18" w:name="_Toc237145406"/>
      <w:bookmarkStart w:id="19" w:name="_Toc211911348"/>
      <w:bookmarkStart w:id="20" w:name="_Toc225670751"/>
      <w:bookmarkStart w:id="21" w:name="_Toc225244852"/>
      <w:r>
        <w:rPr>
          <w:rFonts w:hint="eastAsia" w:ascii="宋体" w:hAnsi="宋体" w:cs="宋体"/>
          <w:b w:val="0"/>
          <w:bCs/>
          <w:sz w:val="24"/>
          <w:lang w:val="en-US" w:eastAsia="zh-CN" w:bidi="ar"/>
        </w:rPr>
        <w:t>1、水保编制服务：自合同签订之日起15日内完成水土保持方案报告书的编制工作并协助采购人取得主管部门批复文件。</w:t>
      </w:r>
    </w:p>
    <w:p w14:paraId="2182F7DC">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lang w:val="en-US" w:eastAsia="zh-CN" w:bidi="ar"/>
        </w:rPr>
      </w:pPr>
      <w:r>
        <w:rPr>
          <w:rFonts w:hint="eastAsia" w:ascii="宋体" w:hAnsi="宋体" w:cs="宋体"/>
          <w:b w:val="0"/>
          <w:bCs/>
          <w:sz w:val="24"/>
          <w:lang w:val="en-US" w:eastAsia="zh-CN" w:bidi="ar"/>
        </w:rPr>
        <w:t>2、水保监测服务：合同签订生效之日起至本项目水土保持工程全面验收结束。</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72DCA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sz w:val="24"/>
          <w:lang w:val="en-US" w:eastAsia="zh-CN" w:bidi="ar"/>
        </w:rPr>
        <w:t>2、</w:t>
      </w:r>
      <w:r>
        <w:rPr>
          <w:rFonts w:hint="eastAsia" w:ascii="宋体" w:hAnsi="宋体" w:cs="宋体"/>
          <w:bCs/>
          <w:sz w:val="24"/>
          <w:lang w:bidi="ar"/>
        </w:rPr>
        <w:t>水土保持监测内容：</w:t>
      </w:r>
    </w:p>
    <w:p w14:paraId="2582E7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bCs/>
          <w:sz w:val="24"/>
          <w:lang w:eastAsia="zh-CN" w:bidi="ar"/>
        </w:rPr>
        <w:t>（</w:t>
      </w:r>
      <w:r>
        <w:rPr>
          <w:rFonts w:hint="eastAsia" w:ascii="宋体" w:hAnsi="宋体" w:cs="宋体"/>
          <w:bCs/>
          <w:sz w:val="24"/>
          <w:lang w:val="en-US" w:eastAsia="zh-CN" w:bidi="ar"/>
        </w:rPr>
        <w:t>1）</w:t>
      </w:r>
      <w:r>
        <w:rPr>
          <w:rFonts w:hint="eastAsia" w:ascii="宋体" w:hAnsi="宋体" w:cs="宋体"/>
          <w:bCs/>
          <w:sz w:val="24"/>
          <w:lang w:bidi="ar"/>
        </w:rPr>
        <w:t>水土流失影响因子监测；项目区水土流失背景值监测；项目区水土保持生态环境变化监测；水土流失量及变化情况的监测；水土流失危害的监测；水土流失防治效果动态监测。</w:t>
      </w:r>
    </w:p>
    <w:p w14:paraId="249B3D19">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编制依据与技术标准</w:t>
      </w:r>
    </w:p>
    <w:p w14:paraId="121E05AB">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《中华人民共和国水土保持法》（中华人民共和国主席令第39号，1991年6月29 日颁布，2010年12月25日修订，2011年3月1日起施行）；</w:t>
      </w:r>
    </w:p>
    <w:p w14:paraId="01FF50DD">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《四川省&lt;中华人民共和国水土保持法&gt;实施办法》（1993年12月15日通过，1997年10月17日修正，2012年9月21日修订，2012年12月1日实施）；</w:t>
      </w:r>
    </w:p>
    <w:p w14:paraId="71F0652C">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③</w:t>
      </w:r>
      <w:r>
        <w:rPr>
          <w:rFonts w:hint="eastAsia" w:ascii="宋体" w:hAnsi="宋体" w:eastAsia="宋体" w:cs="宋体"/>
          <w:bCs/>
          <w:kern w:val="2"/>
          <w:sz w:val="24"/>
          <w:szCs w:val="24"/>
          <w:lang w:val="en-US" w:eastAsia="zh-CN" w:bidi="ar"/>
        </w:rPr>
        <w:t>《中华人民共和国土地管理法》（中华人民共和国主席令第28号，2004 年8月28日修订）。</w:t>
      </w:r>
    </w:p>
    <w:p w14:paraId="17CF206A">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④</w:t>
      </w:r>
      <w:r>
        <w:rPr>
          <w:rFonts w:hint="eastAsia" w:ascii="宋体" w:hAnsi="宋体" w:eastAsia="宋体" w:cs="宋体"/>
          <w:bCs/>
          <w:kern w:val="2"/>
          <w:sz w:val="24"/>
          <w:szCs w:val="24"/>
          <w:lang w:val="en-US" w:eastAsia="zh-CN" w:bidi="ar"/>
        </w:rPr>
        <w:t>《生产建设项目水土保持技术标准》（GB50433-2018）；</w:t>
      </w:r>
    </w:p>
    <w:p w14:paraId="43B79DDB">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⑤</w:t>
      </w:r>
      <w:r>
        <w:rPr>
          <w:rFonts w:hint="eastAsia" w:ascii="宋体" w:hAnsi="宋体" w:eastAsia="宋体" w:cs="宋体"/>
          <w:bCs/>
          <w:kern w:val="2"/>
          <w:sz w:val="24"/>
          <w:szCs w:val="24"/>
          <w:lang w:val="en-US" w:eastAsia="zh-CN" w:bidi="ar"/>
        </w:rPr>
        <w:t>《生产建设项目水土流失防治标准》（GB/T 50434-2018）；</w:t>
      </w:r>
    </w:p>
    <w:p w14:paraId="284671DC">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⑥</w:t>
      </w:r>
      <w:r>
        <w:rPr>
          <w:rFonts w:hint="eastAsia" w:ascii="宋体" w:hAnsi="宋体" w:eastAsia="宋体" w:cs="宋体"/>
          <w:bCs/>
          <w:kern w:val="2"/>
          <w:sz w:val="24"/>
          <w:szCs w:val="24"/>
          <w:lang w:val="en-US" w:eastAsia="zh-CN" w:bidi="ar"/>
        </w:rPr>
        <w:t>《水土保持工程设计规范》（GB51018-2014）；</w:t>
      </w:r>
    </w:p>
    <w:p w14:paraId="07FD85D3">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⑦</w:t>
      </w:r>
      <w:r>
        <w:rPr>
          <w:rFonts w:hint="eastAsia" w:ascii="宋体" w:hAnsi="宋体" w:eastAsia="宋体" w:cs="宋体"/>
          <w:bCs/>
          <w:kern w:val="2"/>
          <w:sz w:val="24"/>
          <w:szCs w:val="24"/>
          <w:lang w:val="en-US" w:eastAsia="zh-CN" w:bidi="ar"/>
        </w:rPr>
        <w:t>《水土保持综合治理效益计算方法》（GB/T15774-2008）；</w:t>
      </w:r>
    </w:p>
    <w:p w14:paraId="71A906C8">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⑧</w:t>
      </w:r>
      <w:r>
        <w:rPr>
          <w:rFonts w:hint="eastAsia" w:ascii="宋体" w:hAnsi="宋体" w:eastAsia="宋体" w:cs="宋体"/>
          <w:bCs/>
          <w:kern w:val="2"/>
          <w:sz w:val="24"/>
          <w:szCs w:val="24"/>
          <w:lang w:val="en-US" w:eastAsia="zh-CN" w:bidi="ar"/>
        </w:rPr>
        <w:t>《水土保持综合治理技术规范》（GB/T16453.1~15463.6-2008）；</w:t>
      </w:r>
    </w:p>
    <w:p w14:paraId="1148FFA6">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⑨</w:t>
      </w:r>
      <w:r>
        <w:rPr>
          <w:rFonts w:hint="eastAsia" w:ascii="宋体" w:hAnsi="宋体" w:eastAsia="宋体" w:cs="宋体"/>
          <w:bCs/>
          <w:kern w:val="2"/>
          <w:sz w:val="24"/>
          <w:szCs w:val="24"/>
          <w:lang w:val="en-US" w:eastAsia="zh-CN" w:bidi="ar"/>
        </w:rPr>
        <w:t>《土壤侵蚀分类分级标准》（SL190-2007）；</w:t>
      </w:r>
    </w:p>
    <w:p w14:paraId="03B4B63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⑩</w:t>
      </w:r>
      <w:r>
        <w:rPr>
          <w:rFonts w:hint="eastAsia" w:ascii="宋体" w:hAnsi="宋体" w:eastAsia="宋体" w:cs="宋体"/>
          <w:bCs/>
          <w:kern w:val="2"/>
          <w:sz w:val="24"/>
          <w:szCs w:val="24"/>
          <w:lang w:val="en-US" w:eastAsia="zh-CN" w:bidi="ar"/>
        </w:rPr>
        <w:t>《土地利用现状分类》（GB/T21010-2017）；</w:t>
      </w:r>
    </w:p>
    <w:p w14:paraId="541E3E72">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⑪《水土保持试验规程》（SL419-2007）；</w:t>
      </w:r>
    </w:p>
    <w:p w14:paraId="094404F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⑫《水土保持监测设施通用技术条件》（SL342-2006）；</w:t>
      </w:r>
    </w:p>
    <w:p w14:paraId="05A07E95">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⑬《开发建设项目水土保持设施验收技术规程》（GB/T22490-2008）；</w:t>
      </w:r>
    </w:p>
    <w:p w14:paraId="628CDF0A">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⑭《水土保持工程调查与勘测标准》（GBT51297-2018）。</w:t>
      </w:r>
    </w:p>
    <w:p w14:paraId="7E9B0F91">
      <w:pPr>
        <w:pStyle w:val="1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⑮《生产建设项目水土保持监测与评价标准》（GB/T51240-2018）</w:t>
      </w:r>
    </w:p>
    <w:p w14:paraId="0FB3E06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eastAsia="宋体" w:cs="宋体"/>
          <w:bCs/>
          <w:kern w:val="2"/>
          <w:sz w:val="24"/>
          <w:szCs w:val="24"/>
          <w:lang w:val="en-US" w:eastAsia="zh-CN" w:bidi="ar"/>
        </w:rPr>
        <w:t>按以上标准及其他相关要求规定，对本项目相关内容进行监测。</w:t>
      </w:r>
    </w:p>
    <w:p w14:paraId="7B20CD24">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bidi="ar"/>
        </w:rPr>
        <w:t>3、</w:t>
      </w:r>
      <w:r>
        <w:rPr>
          <w:rFonts w:hint="eastAsia" w:ascii="宋体" w:hAnsi="宋体" w:eastAsia="宋体" w:cs="宋体"/>
          <w:bCs/>
          <w:kern w:val="2"/>
          <w:sz w:val="24"/>
          <w:szCs w:val="24"/>
          <w:lang w:val="en-US" w:eastAsia="zh-CN" w:bidi="ar"/>
        </w:rPr>
        <w:t>成果及要求</w:t>
      </w:r>
    </w:p>
    <w:p w14:paraId="027D1D3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04412B7A">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480FBAA9">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eastAsia="宋体" w:cs="宋体"/>
          <w:bCs/>
          <w:kern w:val="2"/>
          <w:sz w:val="24"/>
          <w:szCs w:val="24"/>
          <w:lang w:val="en-US" w:eastAsia="zh-CN" w:bidi="ar"/>
        </w:rPr>
        <w:t>项目监测应充分反映施工过程，对施工前后项目区水土流失状况，实施水土保持临时防护措施和永久措施的时间、数量、防护效果等，应作详细记录，并拍摄现场照片或录像，并存档管理。在工程建设过程中水土保持监测应形成《水土保持监测季度报告》定期报送我司及主管部门。</w:t>
      </w:r>
    </w:p>
    <w:p w14:paraId="144665FE">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4、成果内容</w:t>
      </w:r>
    </w:p>
    <w:p w14:paraId="25BA395F">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6B14AF7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35E24A5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p>
    <w:p w14:paraId="4C6C3513">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水土保持监测成果应包括</w:t>
      </w:r>
      <w:r>
        <w:rPr>
          <w:rFonts w:hint="eastAsia" w:ascii="宋体" w:hAnsi="宋体" w:cs="宋体"/>
          <w:bCs/>
          <w:kern w:val="2"/>
          <w:sz w:val="24"/>
          <w:szCs w:val="24"/>
          <w:lang w:val="en-US" w:eastAsia="zh-CN" w:bidi="ar"/>
        </w:rPr>
        <w:t>但不限于</w:t>
      </w:r>
      <w:r>
        <w:rPr>
          <w:rFonts w:hint="eastAsia" w:ascii="宋体" w:hAnsi="宋体" w:eastAsia="宋体" w:cs="宋体"/>
          <w:bCs/>
          <w:kern w:val="2"/>
          <w:sz w:val="24"/>
          <w:szCs w:val="24"/>
          <w:lang w:val="en-US" w:eastAsia="zh-CN" w:bidi="ar"/>
        </w:rPr>
        <w:t>水土保持监测实施方案、监测报告</w:t>
      </w:r>
      <w:r>
        <w:rPr>
          <w:rFonts w:hint="eastAsia" w:ascii="宋体" w:hAnsi="宋体" w:cs="宋体"/>
          <w:bCs/>
          <w:kern w:val="2"/>
          <w:sz w:val="24"/>
          <w:szCs w:val="24"/>
          <w:lang w:val="en-US" w:eastAsia="zh-CN" w:bidi="ar"/>
        </w:rPr>
        <w:t>（含季度监测报告、总结报告等）</w:t>
      </w:r>
      <w:r>
        <w:rPr>
          <w:rFonts w:hint="eastAsia" w:ascii="宋体" w:hAnsi="宋体" w:eastAsia="宋体" w:cs="宋体"/>
          <w:bCs/>
          <w:kern w:val="2"/>
          <w:sz w:val="24"/>
          <w:szCs w:val="24"/>
          <w:lang w:val="en-US" w:eastAsia="zh-CN" w:bidi="ar"/>
        </w:rPr>
        <w:t>、图件、数据表和影像资料等。</w:t>
      </w:r>
    </w:p>
    <w:p w14:paraId="1BAF28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水土保持监测成果应按照档案管理相关规定建立档案。监测成果必须符合水土保持有关的技术规程、规范要求。监测成果应是按照所用监测方法的操作规程进行监测，以记实的方式，根据有关规范，结合实际情况，</w:t>
      </w:r>
      <w:r>
        <w:rPr>
          <w:rFonts w:hint="eastAsia" w:ascii="宋体" w:hAnsi="宋体" w:cs="宋体"/>
          <w:bCs/>
          <w:sz w:val="24"/>
          <w:lang w:bidi="ar"/>
        </w:rPr>
        <w:t>出具正式监测报告（纸质版3份，电子版1份）。</w:t>
      </w: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5AF096FC">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default" w:ascii="宋体" w:hAnsi="宋体" w:eastAsia="宋体" w:cs="宋体"/>
          <w:b/>
          <w:bCs/>
          <w:sz w:val="24"/>
          <w:highlight w:val="none"/>
          <w:lang w:val="en-US" w:eastAsia="zh-CN"/>
        </w:rPr>
      </w:pPr>
      <w:r>
        <w:rPr>
          <w:rFonts w:hint="eastAsia" w:ascii="宋体" w:hAnsi="宋体" w:cs="宋体"/>
          <w:b/>
          <w:sz w:val="24"/>
          <w:lang w:bidi="ar"/>
        </w:rPr>
        <w:t>本项目服务费</w:t>
      </w:r>
    </w:p>
    <w:p w14:paraId="252E45FB">
      <w:pPr>
        <w:keepNext w:val="0"/>
        <w:keepLines w:val="0"/>
        <w:pageBreakBefore w:val="0"/>
        <w:numPr>
          <w:ilvl w:val="0"/>
          <w:numId w:val="0"/>
        </w:numPr>
        <w:tabs>
          <w:tab w:val="left" w:pos="0"/>
        </w:tabs>
        <w:kinsoku/>
        <w:wordWrap/>
        <w:overflowPunct/>
        <w:topLinePunct w:val="0"/>
        <w:autoSpaceDE/>
        <w:autoSpaceDN/>
        <w:bidi w:val="0"/>
        <w:snapToGrid w:val="0"/>
        <w:spacing w:line="360" w:lineRule="auto"/>
        <w:ind w:firstLine="480" w:firstLineChars="200"/>
        <w:rPr>
          <w:rFonts w:hint="default" w:ascii="宋体" w:hAnsi="宋体" w:eastAsia="宋体" w:cs="宋体"/>
          <w:b/>
          <w:bCs/>
          <w:sz w:val="24"/>
          <w:highlight w:val="none"/>
          <w:lang w:val="en-US" w:eastAsia="zh-CN"/>
        </w:rPr>
      </w:pPr>
      <w:r>
        <w:rPr>
          <w:rFonts w:hint="eastAsia" w:ascii="宋体" w:hAnsi="宋体" w:cs="宋体"/>
          <w:bCs/>
          <w:kern w:val="2"/>
          <w:sz w:val="24"/>
          <w:szCs w:val="24"/>
          <w:lang w:val="en-US" w:eastAsia="zh-CN" w:bidi="ar"/>
        </w:rPr>
        <w:t>本服务合同的固定总价为</w:t>
      </w:r>
      <w:r>
        <w:rPr>
          <w:rFonts w:hint="eastAsia"/>
          <w:b w:val="0"/>
          <w:bCs w:val="0"/>
          <w:sz w:val="24"/>
          <w:lang w:val="en-US" w:eastAsia="zh-CN"/>
        </w:rPr>
        <w:t>¥</w:t>
      </w:r>
      <w:r>
        <w:rPr>
          <w:rFonts w:hint="eastAsia"/>
          <w:b w:val="0"/>
          <w:bCs w:val="0"/>
          <w:sz w:val="24"/>
          <w:u w:val="single"/>
          <w:lang w:val="en-US" w:eastAsia="zh-CN"/>
        </w:rPr>
        <w:t xml:space="preserve"> </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 xml:space="preserve">元 </w:t>
      </w:r>
      <w:r>
        <w:rPr>
          <w:rFonts w:hint="eastAsia" w:ascii="宋体" w:hAnsi="宋体" w:cs="宋体"/>
          <w:sz w:val="24"/>
          <w:lang w:bidi="ar"/>
        </w:rPr>
        <w:t>（大写：人民币</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元</w:t>
      </w:r>
      <w:r>
        <w:rPr>
          <w:rFonts w:hint="eastAsia" w:ascii="宋体" w:hAnsi="宋体" w:cs="宋体"/>
          <w:sz w:val="24"/>
          <w:lang w:bidi="ar"/>
        </w:rPr>
        <w:t>）</w:t>
      </w:r>
      <w:r>
        <w:rPr>
          <w:rFonts w:hint="eastAsia" w:ascii="宋体" w:hAnsi="宋体" w:cs="宋体"/>
          <w:sz w:val="24"/>
          <w:lang w:eastAsia="zh-CN" w:bidi="ar"/>
        </w:rPr>
        <w:t>。</w:t>
      </w:r>
      <w:r>
        <w:rPr>
          <w:rFonts w:hint="eastAsia" w:ascii="宋体" w:hAnsi="宋体" w:cs="宋体"/>
          <w:sz w:val="24"/>
          <w:lang w:val="en-US" w:eastAsia="zh-CN" w:bidi="ar"/>
        </w:rPr>
        <w:t>其中</w:t>
      </w:r>
      <w:r>
        <w:rPr>
          <w:rFonts w:hint="eastAsia" w:ascii="宋体" w:hAnsi="宋体" w:cs="宋体"/>
          <w:bCs/>
          <w:kern w:val="2"/>
          <w:sz w:val="24"/>
          <w:szCs w:val="24"/>
          <w:lang w:val="en-US" w:eastAsia="zh-CN" w:bidi="ar"/>
        </w:rPr>
        <w:t>水土保持编制服务费为</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 xml:space="preserve">元 </w:t>
      </w:r>
      <w:r>
        <w:rPr>
          <w:rFonts w:hint="eastAsia" w:ascii="宋体" w:hAnsi="宋体" w:cs="宋体"/>
          <w:sz w:val="24"/>
          <w:lang w:bidi="ar"/>
        </w:rPr>
        <w:t>（大写：人民币</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元</w:t>
      </w:r>
      <w:r>
        <w:rPr>
          <w:rFonts w:hint="eastAsia" w:ascii="宋体" w:hAnsi="宋体" w:cs="宋体"/>
          <w:sz w:val="24"/>
          <w:lang w:bidi="ar"/>
        </w:rPr>
        <w:t>）</w:t>
      </w:r>
      <w:r>
        <w:rPr>
          <w:rFonts w:hint="eastAsia" w:ascii="宋体" w:hAnsi="宋体" w:cs="宋体"/>
          <w:sz w:val="24"/>
          <w:lang w:eastAsia="zh-CN" w:bidi="ar"/>
        </w:rPr>
        <w:t>，</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监测服务费为</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 xml:space="preserve">元 </w:t>
      </w:r>
      <w:r>
        <w:rPr>
          <w:rFonts w:hint="eastAsia" w:ascii="宋体" w:hAnsi="宋体" w:cs="宋体"/>
          <w:sz w:val="24"/>
          <w:lang w:bidi="ar"/>
        </w:rPr>
        <w:t>（大写：人民币</w:t>
      </w:r>
      <w:r>
        <w:rPr>
          <w:rFonts w:hint="eastAsia" w:ascii="宋体" w:hAnsi="宋体" w:cs="宋体"/>
          <w:bCs/>
          <w:kern w:val="2"/>
          <w:sz w:val="24"/>
          <w:szCs w:val="24"/>
          <w:u w:val="single"/>
          <w:lang w:val="en-US" w:eastAsia="zh-CN" w:bidi="ar"/>
        </w:rPr>
        <w:t xml:space="preserve">           </w:t>
      </w:r>
      <w:r>
        <w:rPr>
          <w:rFonts w:hint="eastAsia" w:ascii="宋体" w:hAnsi="宋体" w:cs="宋体"/>
          <w:sz w:val="24"/>
          <w:lang w:val="en-US" w:eastAsia="zh-CN" w:bidi="ar"/>
        </w:rPr>
        <w:t>元</w:t>
      </w:r>
      <w:r>
        <w:rPr>
          <w:rFonts w:hint="eastAsia" w:ascii="宋体" w:hAnsi="宋体" w:cs="宋体"/>
          <w:sz w:val="24"/>
          <w:lang w:bidi="ar"/>
        </w:rPr>
        <w:t>）。</w:t>
      </w:r>
    </w:p>
    <w:p w14:paraId="6EDF1E6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sz w:val="24"/>
        </w:rPr>
      </w:pP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费用为包干费用，已包括但不限于编制费、评审费、会务费、监测费、人工费、材料费、交通费、差旅费、税费、利润等乙方为完成本合同项下约定服务的所有费用，以及后续服务费。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512BCF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eastAsia" w:ascii="宋体" w:hAnsi="宋体" w:cs="宋体"/>
          <w:bCs/>
          <w:sz w:val="24"/>
          <w:lang w:val="en-US" w:eastAsia="zh-CN" w:bidi="ar"/>
        </w:rPr>
        <w:t>（1）乙方提交该项目水土保持方案报告书并协助甲方取得主管部门批复文件后15个工作日内，甲方支付本项目水保编制服务费；</w:t>
      </w:r>
    </w:p>
    <w:p w14:paraId="17BE8B3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eastAsia" w:ascii="宋体" w:hAnsi="宋体" w:cs="宋体"/>
          <w:bCs/>
          <w:sz w:val="24"/>
          <w:lang w:val="en-US" w:eastAsia="zh-CN" w:bidi="ar"/>
        </w:rPr>
        <w:t>（2）乙方完成本项目水土保持工程的全部监测工作，提交合格的监测总结报告后15个工作日内，甲方支付本项目水保监测服务费；</w:t>
      </w:r>
    </w:p>
    <w:p w14:paraId="3E4BE8B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eastAsia" w:ascii="宋体" w:hAnsi="宋体" w:cs="宋体"/>
          <w:bCs/>
          <w:sz w:val="24"/>
          <w:lang w:val="en-US" w:eastAsia="zh-CN" w:bidi="ar"/>
        </w:rPr>
        <w:t xml:space="preserve">（3）乙方须在付款前向采购人提出付款申请并出具合法、有效、足额的增值税专用发票，否则甲方有权拒绝支付且不承担逾期付款责任，如遇国家税收政策调整，双方应根据合同发票的开具时点，执行相应的增值税税率，项目总金额保持不变。    </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（4）</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69E98D0B">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双方严格按照相关法律法规、磋商文件、响应文件的要求进行验收。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rPr>
      </w:pPr>
      <w:r>
        <w:rPr>
          <w:rFonts w:hint="eastAsia" w:ascii="宋体" w:hAnsi="宋体" w:cs="宋体"/>
          <w:bCs/>
          <w:sz w:val="24"/>
          <w:lang w:val="en-US" w:eastAsia="zh-CN" w:bidi="ar"/>
        </w:rPr>
        <w:t>2、</w:t>
      </w:r>
      <w:r>
        <w:rPr>
          <w:rFonts w:hint="eastAsia" w:ascii="宋体" w:hAnsi="宋体" w:cs="宋体"/>
          <w:bCs/>
          <w:sz w:val="24"/>
          <w:lang w:bidi="ar"/>
        </w:rPr>
        <w:t>乙方未按要求履约的，甲方有权扣除履约保证金。</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53B488B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9、整个合同执行期间乙方所有工作人员的安全由乙方自行负责。</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w:t>
      </w:r>
      <w:r>
        <w:rPr>
          <w:rFonts w:hint="eastAsia" w:ascii="宋体" w:hAnsi="宋体" w:cs="宋体"/>
          <w:bCs/>
          <w:sz w:val="24"/>
          <w:lang w:val="en-US" w:eastAsia="zh-CN" w:bidi="ar"/>
        </w:rPr>
        <w:t>由于乙方原因导致</w:t>
      </w:r>
      <w:r>
        <w:rPr>
          <w:rFonts w:hint="eastAsia" w:ascii="宋体" w:hAnsi="宋体" w:cs="宋体"/>
          <w:bCs/>
          <w:sz w:val="24"/>
          <w:lang w:bidi="ar"/>
        </w:rPr>
        <w:t>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39233919"/>
      <w:bookmarkStart w:id="23" w:name="_Toc247334846"/>
      <w:bookmarkStart w:id="24" w:name="_Toc225670756"/>
      <w:bookmarkStart w:id="25" w:name="_Toc232492933"/>
      <w:bookmarkStart w:id="26" w:name="_Toc225244857"/>
      <w:bookmarkStart w:id="27" w:name="_Toc211854454"/>
      <w:bookmarkStart w:id="28" w:name="_Toc239568423"/>
      <w:bookmarkStart w:id="29" w:name="_Toc185395254"/>
      <w:bookmarkStart w:id="30" w:name="_Toc237145411"/>
      <w:bookmarkStart w:id="31" w:name="_Toc241833908"/>
      <w:bookmarkStart w:id="32" w:name="_Toc286993792"/>
      <w:bookmarkStart w:id="33" w:name="_Toc238984980"/>
      <w:bookmarkStart w:id="34" w:name="_Toc211911353"/>
      <w:bookmarkStart w:id="35" w:name="_Toc225654649"/>
      <w:bookmarkStart w:id="36" w:name="_Toc212019599"/>
      <w:bookmarkStart w:id="37" w:name="_Toc251768867"/>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在执行本合同中发生的或与本合同有关的争端，双方应通过友好协商解决，经协商在 30 天内不能达成协议时，应提交</w:t>
      </w:r>
      <w:r>
        <w:rPr>
          <w:rFonts w:hint="eastAsia" w:ascii="宋体" w:hAnsi="宋体" w:cs="宋体"/>
          <w:sz w:val="24"/>
          <w:lang w:val="en-US" w:eastAsia="zh-CN" w:bidi="ar"/>
        </w:rPr>
        <w:t>广汉市</w:t>
      </w:r>
      <w:r>
        <w:rPr>
          <w:rFonts w:hint="eastAsia" w:ascii="宋体" w:hAnsi="宋体" w:cs="宋体"/>
          <w:sz w:val="24"/>
          <w:lang w:bidi="ar"/>
        </w:rPr>
        <w:t>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39568424"/>
      <w:bookmarkStart w:id="39" w:name="_Toc241833909"/>
      <w:bookmarkStart w:id="40" w:name="_Toc185395255"/>
      <w:bookmarkStart w:id="41" w:name="_Toc232492934"/>
      <w:bookmarkStart w:id="42" w:name="_Toc286993793"/>
      <w:bookmarkStart w:id="43" w:name="_Toc225670757"/>
      <w:bookmarkStart w:id="44" w:name="_Toc211854455"/>
      <w:bookmarkStart w:id="45" w:name="_Toc283019219"/>
      <w:bookmarkStart w:id="46" w:name="_Toc211911354"/>
      <w:bookmarkStart w:id="47" w:name="_Toc212019600"/>
      <w:bookmarkStart w:id="48" w:name="_Toc238984981"/>
      <w:bookmarkStart w:id="49" w:name="_Toc239233920"/>
      <w:bookmarkStart w:id="50" w:name="_Toc225654650"/>
      <w:bookmarkStart w:id="51" w:name="_Toc251768868"/>
      <w:bookmarkStart w:id="52" w:name="_Toc225244858"/>
      <w:bookmarkStart w:id="53" w:name="_Toc237145412"/>
      <w:bookmarkStart w:id="54" w:name="_Toc247334847"/>
      <w:bookmarkStart w:id="55" w:name="_Toc282696231"/>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1、合同执行中涉及修改或补充的，由甲乙双方协商，并签订书面补充协议，方可作为主合同不可分割的一部分，与本合同具有同等法律效力。</w:t>
      </w:r>
    </w:p>
    <w:p w14:paraId="7291F723">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陆</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叁</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叁</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3A6AF150">
      <w:pPr>
        <w:pStyle w:val="10"/>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4"/>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43D6D35"/>
    <w:rsid w:val="05137F6D"/>
    <w:rsid w:val="06F87014"/>
    <w:rsid w:val="19586DF5"/>
    <w:rsid w:val="1AB5530F"/>
    <w:rsid w:val="1AF347C3"/>
    <w:rsid w:val="1E8F349A"/>
    <w:rsid w:val="22762BF1"/>
    <w:rsid w:val="227B6E3E"/>
    <w:rsid w:val="23863CED"/>
    <w:rsid w:val="24BC729A"/>
    <w:rsid w:val="293B7327"/>
    <w:rsid w:val="2A593B14"/>
    <w:rsid w:val="2BA25C56"/>
    <w:rsid w:val="2C4A4F9D"/>
    <w:rsid w:val="2CD068F8"/>
    <w:rsid w:val="2FF87D20"/>
    <w:rsid w:val="33F61609"/>
    <w:rsid w:val="438202DA"/>
    <w:rsid w:val="475C1161"/>
    <w:rsid w:val="477A7E8E"/>
    <w:rsid w:val="4DB96612"/>
    <w:rsid w:val="4E5E4891"/>
    <w:rsid w:val="50C555A5"/>
    <w:rsid w:val="527821A3"/>
    <w:rsid w:val="58883E5B"/>
    <w:rsid w:val="5B873D00"/>
    <w:rsid w:val="5F7960F6"/>
    <w:rsid w:val="66EC7C29"/>
    <w:rsid w:val="677A4ECB"/>
    <w:rsid w:val="6CC12C6C"/>
    <w:rsid w:val="6E5C3829"/>
    <w:rsid w:val="70624D64"/>
    <w:rsid w:val="75135BF2"/>
    <w:rsid w:val="77A7562B"/>
    <w:rsid w:val="783E6869"/>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9">
    <w:name w:val="标题 5（有编号）（绿盟科技）"/>
    <w:basedOn w:val="1"/>
    <w:next w:val="10"/>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msolistparagraph"/>
    <w:basedOn w:val="1"/>
    <w:qFormat/>
    <w:uiPriority w:val="0"/>
    <w:pPr>
      <w:ind w:firstLine="420" w:firstLineChars="200"/>
    </w:pPr>
    <w:rPr>
      <w:rFonts w:ascii="Calibri" w:hAnsi="Calibri" w:cs="Calibri"/>
      <w:szCs w:val="22"/>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4593</Words>
  <Characters>4807</Characters>
  <Lines>0</Lines>
  <Paragraphs>0</Paragraphs>
  <TotalTime>9</TotalTime>
  <ScaleCrop>false</ScaleCrop>
  <LinksUpToDate>false</LinksUpToDate>
  <CharactersWithSpaces>5373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阿游</cp:lastModifiedBy>
  <cp:lastPrinted>2026-02-05T03:27:04Z</cp:lastPrinted>
  <dcterms:modified xsi:type="dcterms:W3CDTF">2026-02-05T03:29:48Z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DA4617275FF04A24BDB9DEACD3E21128_13</vt:lpwstr>
  </property>
  <property fmtid="{D5CDD505-2E9C-101B-9397-08002B2CF9AE}" pid="4" name="KSOTemplateDocerSaveRecord">
    <vt:lpwstr>eyJoZGlkIjoiMTY0ZWI2NTJkZjhlY2ZlOTM0NThiODIyYWQ1OGQ5NjIiLCJ1c2VySWQiOiIzNTI3NDE2MTgifQ==</vt:lpwstr>
  </property>
</Properties>
</file>